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510C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7369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:rsidR="00EA4725" w:rsidRPr="00441372" w:rsidRDefault="007510C1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Saudi Food and Drug Authority (</w:t>
            </w:r>
            <w:proofErr w:type="spellStart"/>
            <w:r w:rsidRPr="0065690F">
              <w:t>SFDA</w:t>
            </w:r>
            <w:proofErr w:type="spellEnd"/>
            <w:r w:rsidRPr="0065690F">
              <w:t>)</w:t>
            </w:r>
            <w:bookmarkStart w:id="6" w:name="sps2a"/>
            <w:bookmarkEnd w:id="6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Food products in general (ICS Code: 67.040)</w:t>
            </w:r>
            <w:bookmarkStart w:id="8" w:name="sps3a"/>
            <w:bookmarkEnd w:id="8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7510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7510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draft Technical Regulation for "Maximum Residues Limits (</w:t>
            </w:r>
            <w:proofErr w:type="spellStart"/>
            <w:r w:rsidRPr="0065690F">
              <w:t>MRLs</w:t>
            </w:r>
            <w:proofErr w:type="spellEnd"/>
            <w:r w:rsidRPr="0065690F">
              <w:t>) of Veterinary Drugs In Food"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Arabic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65</w:t>
            </w:r>
            <w:bookmarkEnd w:id="21"/>
          </w:p>
          <w:p w:rsidR="00EA4725" w:rsidRPr="00441372" w:rsidRDefault="00484855" w:rsidP="00441372">
            <w:pPr>
              <w:spacing w:after="120"/>
            </w:pPr>
            <w:hyperlink r:id="rId7" w:tgtFrame="_blank" w:history="1">
              <w:r w:rsidR="007510C1" w:rsidRPr="00441372">
                <w:rPr>
                  <w:color w:val="0000FF"/>
                  <w:u w:val="single"/>
                </w:rPr>
                <w:t>https://members.wto.org/crnattachments/2019/SPS/SAU/19_3100_00_x.pdf</w:t>
              </w:r>
            </w:hyperlink>
            <w:bookmarkStart w:id="22" w:name="sps5d"/>
            <w:bookmarkEnd w:id="22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Technical Regulation concerns Maximum Residues Limits (</w:t>
            </w:r>
            <w:proofErr w:type="spellStart"/>
            <w:r w:rsidRPr="0065690F">
              <w:t>MRLs</w:t>
            </w:r>
            <w:proofErr w:type="spellEnd"/>
            <w:r w:rsidRPr="0065690F">
              <w:t>) and acceptable daily intake (ADI) of Veterinary Drugs In Food products and food from animal origin such as milk, eggs, fat, muscle, liver and kidney.</w:t>
            </w:r>
            <w:bookmarkStart w:id="24" w:name="sps6a"/>
            <w:bookmarkEnd w:id="24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7510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of veterinary drugs in food CX/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2-2018</w:t>
            </w:r>
            <w:bookmarkEnd w:id="40"/>
          </w:p>
          <w:p w:rsidR="00EA4725" w:rsidRPr="00441372" w:rsidRDefault="007510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7510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7510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7510C1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7510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7510C1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510C1" w:rsidRDefault="007510C1" w:rsidP="007510C1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510C1" w:rsidP="007510C1">
            <w:pPr>
              <w:pStyle w:val="ListParagraph"/>
              <w:numPr>
                <w:ilvl w:val="0"/>
                <w:numId w:val="16"/>
              </w:numPr>
              <w:spacing w:before="100"/>
              <w:ind w:left="346" w:hanging="357"/>
            </w:pPr>
            <w:r w:rsidRPr="0065690F">
              <w:t xml:space="preserve">Acceptable Daily Intakes (Adi) </w:t>
            </w:r>
            <w:r>
              <w:t>f</w:t>
            </w:r>
            <w:r w:rsidRPr="0065690F">
              <w:t xml:space="preserve">or Agricultural </w:t>
            </w:r>
            <w:r>
              <w:t>a</w:t>
            </w:r>
            <w:r w:rsidRPr="0065690F">
              <w:t>nd Veterinary Chemicals. Australian Government, Department of Health and Aging Office of Chemical Safety. 31 December 2012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Australian Standard (2012), Australian Pesticides and Veterinary Medicines Authority, The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Standard, Maximum residue limits in food and animal feedstuff July 2012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Canadian Standards,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of veterinary drugs in food, 2011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Commission Regulation (EU) No 37/2010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Council Regulation (EEC) No 2377/90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/865/03-FINAL, June 2004: The European Agency for the Evaluation of Medicinal products. Veterinary Medicines and Information Technology Unit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</w:t>
            </w:r>
            <w:proofErr w:type="spellStart"/>
            <w:r w:rsidRPr="0065690F">
              <w:t>CVMP</w:t>
            </w:r>
            <w:proofErr w:type="spellEnd"/>
            <w:r w:rsidRPr="0065690F">
              <w:t>/151/99-FINAL, March 1999. The European Agency for the Evaluation of Medicinal products. Veterinary Medicines and Information Technology Unit. Committee for Veterinary Medical Products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/889/03-FINAL. June 2004. The European Agency for the Evaluation of Medicinal products. Veterinary Medicines and Information Technology Unit. Committee for Veterinary Medical Products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/342/00-FINAL. January 2001. The European Agency for the Evaluation of Medicinal products. Veterinary Medicines and Information Technology Unit. Committee for Veterinary Medical Products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/565/99-FINAL April (1999). The European Agency for the Evaluation of Medicinal products. Veterinary Medicines and Information Technology Unit. Committee for Veterinary Medical Products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/342/98-FINAL. February 1998. The European Agency for the Evaluation of Medicinal products. Veterinary Medicines and Information Technology Unit. Committee for Veterinary Medical Products</w:t>
            </w:r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European Community Comments on Codex Circular Letter CL 2005-10 </w:t>
            </w:r>
            <w:proofErr w:type="spellStart"/>
            <w:r w:rsidRPr="0065690F">
              <w:t>RVDF</w:t>
            </w:r>
            <w:proofErr w:type="spellEnd"/>
          </w:p>
          <w:p w:rsidR="00E73691" w:rsidRPr="0065690F" w:rsidRDefault="007510C1" w:rsidP="007510C1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EMEA/</w:t>
            </w:r>
            <w:proofErr w:type="spellStart"/>
            <w:r w:rsidRPr="0065690F">
              <w:t>MRL</w:t>
            </w:r>
            <w:proofErr w:type="spellEnd"/>
            <w:r w:rsidRPr="0065690F">
              <w:t>/079/96-FINAL, March 1996. The European Agency for the Evaluation of Medicinal products. Veterinary Medicines and Information Technology Unit</w:t>
            </w:r>
            <w:bookmarkStart w:id="57" w:name="sps9a"/>
            <w:bookmarkEnd w:id="57"/>
            <w:r w:rsidRPr="007510C1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7510C1">
            <w:pPr>
              <w:spacing w:before="120" w:after="10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:rsidR="00EA4725" w:rsidRPr="00441372" w:rsidRDefault="007510C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510C1" w:rsidP="007510C1">
            <w:pPr>
              <w:spacing w:before="120" w:after="10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</w:t>
            </w:r>
            <w:bookmarkStart w:id="64" w:name="sps11c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6" w:name="sps11a"/>
            <w:bookmarkEnd w:id="66"/>
          </w:p>
          <w:p w:rsidR="00EA4725" w:rsidRPr="00441372" w:rsidRDefault="007510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A3147" w:rsidRDefault="007510C1" w:rsidP="00441372">
            <w:pPr>
              <w:spacing w:before="120" w:after="120"/>
              <w:jc w:val="left"/>
            </w:pPr>
            <w:r w:rsidRPr="009A3147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A3147" w:rsidRDefault="007510C1" w:rsidP="007510C1">
            <w:pPr>
              <w:spacing w:before="120" w:after="100"/>
            </w:pPr>
            <w:bookmarkStart w:id="70" w:name="X_SPS_Reg_12A"/>
            <w:r w:rsidRPr="009A3147">
              <w:rPr>
                <w:b/>
              </w:rPr>
              <w:t>Final date for comments</w:t>
            </w:r>
            <w:bookmarkEnd w:id="70"/>
            <w:r w:rsidRPr="009A3147">
              <w:rPr>
                <w:b/>
              </w:rPr>
              <w:t>: [</w:t>
            </w:r>
            <w:bookmarkStart w:id="71" w:name="sps12e"/>
            <w:r w:rsidRPr="009A3147">
              <w:rPr>
                <w:b/>
              </w:rPr>
              <w:t>X</w:t>
            </w:r>
            <w:bookmarkEnd w:id="71"/>
            <w:r w:rsidRPr="009A3147">
              <w:rPr>
                <w:b/>
              </w:rPr>
              <w:t>] </w:t>
            </w:r>
            <w:bookmarkStart w:id="72" w:name="X_SPS_Reg_12B"/>
            <w:r w:rsidRPr="009A3147">
              <w:rPr>
                <w:b/>
              </w:rPr>
              <w:t xml:space="preserve">Sixty days from the date of circulation of the notification and/or </w:t>
            </w:r>
            <w:r w:rsidRPr="009A3147">
              <w:rPr>
                <w:b/>
                <w:i/>
              </w:rPr>
              <w:t>(dd/mm/</w:t>
            </w:r>
            <w:proofErr w:type="spellStart"/>
            <w:r w:rsidRPr="009A3147">
              <w:rPr>
                <w:b/>
                <w:i/>
              </w:rPr>
              <w:t>yy</w:t>
            </w:r>
            <w:proofErr w:type="spellEnd"/>
            <w:r w:rsidRPr="009A3147">
              <w:rPr>
                <w:b/>
                <w:i/>
              </w:rPr>
              <w:t>)</w:t>
            </w:r>
            <w:bookmarkEnd w:id="72"/>
            <w:r w:rsidRPr="009A3147">
              <w:rPr>
                <w:b/>
              </w:rPr>
              <w:t>:</w:t>
            </w:r>
            <w:r w:rsidRPr="009A3147">
              <w:t xml:space="preserve"> </w:t>
            </w:r>
            <w:bookmarkStart w:id="73" w:name="sps12a"/>
            <w:r w:rsidRPr="009A3147">
              <w:t>26 July 2019</w:t>
            </w:r>
            <w:bookmarkEnd w:id="73"/>
          </w:p>
          <w:p w:rsidR="00EA4725" w:rsidRPr="009A3147" w:rsidRDefault="007510C1" w:rsidP="007510C1">
            <w:pPr>
              <w:spacing w:after="100"/>
            </w:pPr>
            <w:bookmarkStart w:id="74" w:name="X_SPS_Reg_12C"/>
            <w:r w:rsidRPr="009A3147">
              <w:rPr>
                <w:b/>
              </w:rPr>
              <w:t>Agency or authority designated to handle comments</w:t>
            </w:r>
            <w:bookmarkEnd w:id="74"/>
            <w:r w:rsidRPr="009A3147">
              <w:rPr>
                <w:b/>
              </w:rPr>
              <w:t>: [</w:t>
            </w:r>
            <w:bookmarkStart w:id="75" w:name="sps12b"/>
            <w:r w:rsidRPr="009A3147">
              <w:rPr>
                <w:b/>
              </w:rPr>
              <w:t>X</w:t>
            </w:r>
            <w:bookmarkEnd w:id="75"/>
            <w:r w:rsidRPr="009A3147">
              <w:rPr>
                <w:b/>
              </w:rPr>
              <w:t>] </w:t>
            </w:r>
            <w:bookmarkStart w:id="76" w:name="X_SPS_Reg_12D"/>
            <w:r w:rsidRPr="009A3147">
              <w:rPr>
                <w:b/>
              </w:rPr>
              <w:t>National Notification Authority</w:t>
            </w:r>
            <w:bookmarkEnd w:id="76"/>
            <w:r w:rsidRPr="009A3147">
              <w:rPr>
                <w:b/>
              </w:rPr>
              <w:t>, [</w:t>
            </w:r>
            <w:bookmarkStart w:id="77" w:name="sps12c"/>
            <w:r w:rsidRPr="009A3147">
              <w:rPr>
                <w:b/>
              </w:rPr>
              <w:t>X</w:t>
            </w:r>
            <w:bookmarkEnd w:id="77"/>
            <w:r w:rsidRPr="009A3147">
              <w:rPr>
                <w:b/>
              </w:rPr>
              <w:t>] </w:t>
            </w:r>
            <w:bookmarkStart w:id="78" w:name="X_SPS_Reg_12E"/>
            <w:r w:rsidRPr="009A3147">
              <w:rPr>
                <w:b/>
              </w:rPr>
              <w:t>National Enquiry Point</w:t>
            </w:r>
            <w:bookmarkEnd w:id="78"/>
            <w:r w:rsidRPr="009A3147">
              <w:rPr>
                <w:b/>
              </w:rPr>
              <w:t xml:space="preserve">. </w:t>
            </w:r>
            <w:bookmarkStart w:id="79" w:name="X_SPS_Reg_12F"/>
            <w:r w:rsidRPr="009A3147">
              <w:rPr>
                <w:b/>
              </w:rPr>
              <w:t>Address, fax number and e-mail address (if available) of other body</w:t>
            </w:r>
            <w:bookmarkEnd w:id="79"/>
            <w:r w:rsidRPr="009A3147">
              <w:rPr>
                <w:b/>
              </w:rPr>
              <w:t>:</w:t>
            </w:r>
            <w:r w:rsidRPr="009A3147">
              <w:t xml:space="preserve"> </w:t>
            </w:r>
          </w:p>
          <w:p w:rsidR="00E73691" w:rsidRPr="009A3147" w:rsidRDefault="007510C1" w:rsidP="00441372">
            <w:r w:rsidRPr="009A3147">
              <w:t>Saudi Food and Drug Authority</w:t>
            </w:r>
          </w:p>
          <w:p w:rsidR="00E73691" w:rsidRPr="009A3147" w:rsidRDefault="007510C1" w:rsidP="00441372">
            <w:proofErr w:type="spellStart"/>
            <w:r w:rsidRPr="009A3147">
              <w:t>SFDA</w:t>
            </w:r>
            <w:proofErr w:type="spellEnd"/>
            <w:r w:rsidRPr="009A3147">
              <w:t xml:space="preserve"> - 3292 North Ring road Al </w:t>
            </w:r>
            <w:proofErr w:type="spellStart"/>
            <w:r w:rsidRPr="009A3147">
              <w:t>Nafel</w:t>
            </w:r>
            <w:proofErr w:type="spellEnd"/>
            <w:r w:rsidRPr="009A3147">
              <w:t xml:space="preserve"> Area </w:t>
            </w:r>
            <w:proofErr w:type="spellStart"/>
            <w:r w:rsidRPr="009A3147">
              <w:t>Unt</w:t>
            </w:r>
            <w:proofErr w:type="spellEnd"/>
            <w:r w:rsidRPr="009A3147">
              <w:t xml:space="preserve"> (1) - Riyadh 13312 - 6288</w:t>
            </w:r>
          </w:p>
          <w:p w:rsidR="00E73691" w:rsidRPr="009A3147" w:rsidRDefault="007510C1" w:rsidP="00441372">
            <w:r w:rsidRPr="009A3147">
              <w:t>Tel: +(966 11) 275 9222, Ext. 3331</w:t>
            </w:r>
          </w:p>
          <w:p w:rsidR="00E73691" w:rsidRPr="009A3147" w:rsidRDefault="007510C1" w:rsidP="00441372">
            <w:r w:rsidRPr="009A3147">
              <w:t>Fax: +(966 11) 210 9825</w:t>
            </w:r>
          </w:p>
          <w:p w:rsidR="00E73691" w:rsidRPr="009A3147" w:rsidRDefault="007510C1" w:rsidP="00441372">
            <w:r w:rsidRPr="009A3147">
              <w:t>E-mail: SPSEP.Food@sfda.gov.sa</w:t>
            </w:r>
          </w:p>
          <w:p w:rsidR="00E73691" w:rsidRPr="0065690F" w:rsidRDefault="007510C1" w:rsidP="00441372">
            <w:pPr>
              <w:spacing w:after="120"/>
            </w:pPr>
            <w:r w:rsidRPr="009A3147">
              <w:t xml:space="preserve">Website: </w:t>
            </w:r>
            <w:hyperlink r:id="rId8" w:tgtFrame="_blank" w:history="1">
              <w:r w:rsidRPr="009A3147">
                <w:rPr>
                  <w:color w:val="0000FF"/>
                  <w:u w:val="single"/>
                </w:rPr>
                <w:t>http://www.sfda.gov.sa</w:t>
              </w:r>
            </w:hyperlink>
            <w:bookmarkStart w:id="80" w:name="sps12d"/>
            <w:bookmarkEnd w:id="80"/>
          </w:p>
        </w:tc>
      </w:tr>
      <w:tr w:rsidR="00E7369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510C1" w:rsidP="007510C1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510C1" w:rsidP="007510C1">
            <w:pPr>
              <w:spacing w:before="120" w:after="10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510C1" w:rsidP="007510C1">
            <w:pPr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:rsidR="00EA4725" w:rsidRPr="0065690F" w:rsidRDefault="007510C1" w:rsidP="007510C1">
            <w:pPr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- 3292 North Ring road Al </w:t>
            </w:r>
            <w:proofErr w:type="spellStart"/>
            <w:r w:rsidRPr="0065690F">
              <w:rPr>
                <w:bCs/>
              </w:rPr>
              <w:t>Nafel</w:t>
            </w:r>
            <w:proofErr w:type="spellEnd"/>
            <w:r w:rsidRPr="0065690F">
              <w:rPr>
                <w:bCs/>
              </w:rPr>
              <w:t xml:space="preserve"> Area </w:t>
            </w:r>
            <w:proofErr w:type="spellStart"/>
            <w:r w:rsidRPr="0065690F">
              <w:rPr>
                <w:bCs/>
              </w:rPr>
              <w:t>Unt</w:t>
            </w:r>
            <w:proofErr w:type="spellEnd"/>
            <w:r w:rsidRPr="0065690F">
              <w:rPr>
                <w:bCs/>
              </w:rPr>
              <w:t xml:space="preserve"> (1) - Riyadh 13312 - 6288</w:t>
            </w:r>
          </w:p>
          <w:p w:rsidR="00EA4725" w:rsidRPr="0065690F" w:rsidRDefault="007510C1" w:rsidP="007510C1">
            <w:pPr>
              <w:rPr>
                <w:bCs/>
              </w:rPr>
            </w:pPr>
            <w:r w:rsidRPr="0065690F">
              <w:rPr>
                <w:bCs/>
              </w:rPr>
              <w:t>Tel: +(966 11) 275 9222, Ext. 3331</w:t>
            </w:r>
          </w:p>
          <w:p w:rsidR="00EA4725" w:rsidRPr="0065690F" w:rsidRDefault="007510C1" w:rsidP="007510C1">
            <w:pPr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:rsidR="00EA4725" w:rsidRPr="0065690F" w:rsidRDefault="007510C1" w:rsidP="007510C1">
            <w:pPr>
              <w:rPr>
                <w:bCs/>
              </w:rPr>
            </w:pPr>
            <w:r w:rsidRPr="0065690F">
              <w:rPr>
                <w:bCs/>
              </w:rPr>
              <w:t>E-mail: SPSEP.Food@sfda.gov.sa</w:t>
            </w:r>
          </w:p>
          <w:p w:rsidR="00EA4725" w:rsidRPr="0065690F" w:rsidRDefault="007510C1" w:rsidP="007510C1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7" w:name="sps13c"/>
            <w:bookmarkEnd w:id="87"/>
          </w:p>
        </w:tc>
      </w:tr>
    </w:tbl>
    <w:p w:rsidR="007141CF" w:rsidRPr="007510C1" w:rsidRDefault="007141CF" w:rsidP="00441372">
      <w:pPr>
        <w:rPr>
          <w:sz w:val="2"/>
          <w:szCs w:val="2"/>
        </w:rPr>
      </w:pPr>
    </w:p>
    <w:sectPr w:rsidR="007141CF" w:rsidRPr="007510C1" w:rsidSect="00162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DA" w:rsidRDefault="007510C1">
      <w:r>
        <w:separator/>
      </w:r>
    </w:p>
  </w:endnote>
  <w:endnote w:type="continuationSeparator" w:id="0">
    <w:p w:rsidR="00D231DA" w:rsidRDefault="0075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62561" w:rsidRDefault="00162561" w:rsidP="001625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62561" w:rsidRDefault="00162561" w:rsidP="001625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510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DA" w:rsidRDefault="007510C1">
      <w:r>
        <w:separator/>
      </w:r>
    </w:p>
  </w:footnote>
  <w:footnote w:type="continuationSeparator" w:id="0">
    <w:p w:rsidR="00D231DA" w:rsidRDefault="0075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61">
      <w:t>G/SPS/N/ARE/178 • G/SPS/N/</w:t>
    </w:r>
    <w:proofErr w:type="spellStart"/>
    <w:r w:rsidRPr="00162561">
      <w:t>BHR</w:t>
    </w:r>
    <w:proofErr w:type="spellEnd"/>
    <w:r w:rsidRPr="00162561">
      <w:t>/201 • G/SPS/N/</w:t>
    </w:r>
    <w:proofErr w:type="spellStart"/>
    <w:r w:rsidRPr="00162561">
      <w:t>KWT</w:t>
    </w:r>
    <w:proofErr w:type="spellEnd"/>
    <w:r w:rsidRPr="00162561">
      <w:t>/52 • G/SPS/N/</w:t>
    </w:r>
    <w:proofErr w:type="spellStart"/>
    <w:r w:rsidRPr="00162561">
      <w:t>OMN</w:t>
    </w:r>
    <w:proofErr w:type="spellEnd"/>
    <w:r w:rsidRPr="00162561">
      <w:t>/98 • G/SPS/N/</w:t>
    </w:r>
    <w:proofErr w:type="spellStart"/>
    <w:r w:rsidRPr="00162561">
      <w:t>QAT</w:t>
    </w:r>
    <w:proofErr w:type="spellEnd"/>
    <w:r w:rsidRPr="00162561">
      <w:t>/102 • G/SPS/N/SAU/399 • G/SPS/N/</w:t>
    </w:r>
    <w:proofErr w:type="spellStart"/>
    <w:r w:rsidRPr="00162561">
      <w:t>YEM</w:t>
    </w:r>
    <w:proofErr w:type="spellEnd"/>
    <w:r w:rsidRPr="00162561">
      <w:t>/43</w:t>
    </w:r>
  </w:p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61">
      <w:t xml:space="preserve">- </w:t>
    </w:r>
    <w:r w:rsidRPr="00162561">
      <w:fldChar w:fldCharType="begin"/>
    </w:r>
    <w:r w:rsidRPr="00162561">
      <w:instrText xml:space="preserve"> PAGE </w:instrText>
    </w:r>
    <w:r w:rsidRPr="00162561">
      <w:fldChar w:fldCharType="separate"/>
    </w:r>
    <w:r w:rsidRPr="00162561">
      <w:rPr>
        <w:noProof/>
      </w:rPr>
      <w:t>2</w:t>
    </w:r>
    <w:r w:rsidRPr="00162561">
      <w:fldChar w:fldCharType="end"/>
    </w:r>
    <w:r w:rsidRPr="00162561">
      <w:t xml:space="preserve"> -</w:t>
    </w:r>
  </w:p>
  <w:p w:rsidR="00EA4725" w:rsidRPr="00162561" w:rsidRDefault="00EA4725" w:rsidP="001625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61">
      <w:t>G/SPS/N/ARE/178, G/SPS/N/</w:t>
    </w:r>
    <w:proofErr w:type="spellStart"/>
    <w:r w:rsidRPr="00162561">
      <w:t>BHR</w:t>
    </w:r>
    <w:proofErr w:type="spellEnd"/>
    <w:r w:rsidRPr="00162561">
      <w:t>/201 • G/SPS/N/</w:t>
    </w:r>
    <w:proofErr w:type="spellStart"/>
    <w:r w:rsidRPr="00162561">
      <w:t>KWT</w:t>
    </w:r>
    <w:proofErr w:type="spellEnd"/>
    <w:r w:rsidRPr="00162561">
      <w:t>/52, G/SPS/N/</w:t>
    </w:r>
    <w:proofErr w:type="spellStart"/>
    <w:r w:rsidRPr="00162561">
      <w:t>OMN</w:t>
    </w:r>
    <w:proofErr w:type="spellEnd"/>
    <w:r w:rsidRPr="00162561">
      <w:t>/98 • G/SPS/N/</w:t>
    </w:r>
    <w:proofErr w:type="spellStart"/>
    <w:r w:rsidRPr="00162561">
      <w:t>QAT</w:t>
    </w:r>
    <w:proofErr w:type="spellEnd"/>
    <w:r w:rsidRPr="00162561">
      <w:t>/102, G/SPS/N/SAU/399 • G/SPS/N/</w:t>
    </w:r>
    <w:proofErr w:type="spellStart"/>
    <w:r w:rsidRPr="00162561">
      <w:t>YEM</w:t>
    </w:r>
    <w:proofErr w:type="spellEnd"/>
    <w:r w:rsidRPr="00162561">
      <w:t>/43</w:t>
    </w:r>
  </w:p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2561" w:rsidRPr="00162561" w:rsidRDefault="00162561" w:rsidP="001625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2561">
      <w:t xml:space="preserve">- </w:t>
    </w:r>
    <w:r w:rsidRPr="00162561">
      <w:fldChar w:fldCharType="begin"/>
    </w:r>
    <w:r w:rsidRPr="00162561">
      <w:instrText xml:space="preserve"> PAGE </w:instrText>
    </w:r>
    <w:r w:rsidRPr="00162561">
      <w:fldChar w:fldCharType="separate"/>
    </w:r>
    <w:r w:rsidRPr="00162561">
      <w:rPr>
        <w:noProof/>
      </w:rPr>
      <w:t>3</w:t>
    </w:r>
    <w:r w:rsidRPr="00162561">
      <w:fldChar w:fldCharType="end"/>
    </w:r>
    <w:r w:rsidRPr="00162561">
      <w:t xml:space="preserve"> -</w:t>
    </w:r>
  </w:p>
  <w:p w:rsidR="00EA4725" w:rsidRPr="00162561" w:rsidRDefault="00EA4725" w:rsidP="001625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369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25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E7369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6256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7369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62561" w:rsidRDefault="0016256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G/SPS/N/ARE/178,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/201</w:t>
          </w:r>
        </w:p>
        <w:p w:rsidR="00162561" w:rsidRDefault="0016256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/52,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/98</w:t>
          </w:r>
        </w:p>
        <w:p w:rsidR="00162561" w:rsidRDefault="0016256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/102, G/SPS/N/SAU/399</w:t>
          </w:r>
        </w:p>
        <w:p w:rsidR="00162561" w:rsidRDefault="0016256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/43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7369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510C1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27 May 2019</w:t>
          </w:r>
          <w:bookmarkStart w:id="91" w:name="bmkDate"/>
          <w:bookmarkEnd w:id="90"/>
          <w:bookmarkEnd w:id="91"/>
        </w:p>
      </w:tc>
    </w:tr>
    <w:tr w:rsidR="00E7369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510C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C06DE7">
            <w:rPr>
              <w:color w:val="FF0000"/>
              <w:szCs w:val="16"/>
            </w:rPr>
            <w:t>19-3634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510C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7369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6256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6256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6A1ACC"/>
    <w:multiLevelType w:val="hybridMultilevel"/>
    <w:tmpl w:val="7F705B8E"/>
    <w:lvl w:ilvl="0" w:tplc="4794593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51120"/>
    <w:multiLevelType w:val="hybridMultilevel"/>
    <w:tmpl w:val="775A1D4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FE4EA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30F270" w:tentative="1">
      <w:start w:val="1"/>
      <w:numFmt w:val="lowerLetter"/>
      <w:lvlText w:val="%2."/>
      <w:lvlJc w:val="left"/>
      <w:pPr>
        <w:ind w:left="1080" w:hanging="360"/>
      </w:pPr>
    </w:lvl>
    <w:lvl w:ilvl="2" w:tplc="73841F16" w:tentative="1">
      <w:start w:val="1"/>
      <w:numFmt w:val="lowerRoman"/>
      <w:lvlText w:val="%3."/>
      <w:lvlJc w:val="right"/>
      <w:pPr>
        <w:ind w:left="1800" w:hanging="180"/>
      </w:pPr>
    </w:lvl>
    <w:lvl w:ilvl="3" w:tplc="FBE2B710" w:tentative="1">
      <w:start w:val="1"/>
      <w:numFmt w:val="decimal"/>
      <w:lvlText w:val="%4."/>
      <w:lvlJc w:val="left"/>
      <w:pPr>
        <w:ind w:left="2520" w:hanging="360"/>
      </w:pPr>
    </w:lvl>
    <w:lvl w:ilvl="4" w:tplc="4EA22746" w:tentative="1">
      <w:start w:val="1"/>
      <w:numFmt w:val="lowerLetter"/>
      <w:lvlText w:val="%5."/>
      <w:lvlJc w:val="left"/>
      <w:pPr>
        <w:ind w:left="3240" w:hanging="360"/>
      </w:pPr>
    </w:lvl>
    <w:lvl w:ilvl="5" w:tplc="11BC9C54" w:tentative="1">
      <w:start w:val="1"/>
      <w:numFmt w:val="lowerRoman"/>
      <w:lvlText w:val="%6."/>
      <w:lvlJc w:val="right"/>
      <w:pPr>
        <w:ind w:left="3960" w:hanging="180"/>
      </w:pPr>
    </w:lvl>
    <w:lvl w:ilvl="6" w:tplc="AA60AF12" w:tentative="1">
      <w:start w:val="1"/>
      <w:numFmt w:val="decimal"/>
      <w:lvlText w:val="%7."/>
      <w:lvlJc w:val="left"/>
      <w:pPr>
        <w:ind w:left="4680" w:hanging="360"/>
      </w:pPr>
    </w:lvl>
    <w:lvl w:ilvl="7" w:tplc="D08E57A4" w:tentative="1">
      <w:start w:val="1"/>
      <w:numFmt w:val="lowerLetter"/>
      <w:lvlText w:val="%8."/>
      <w:lvlJc w:val="left"/>
      <w:pPr>
        <w:ind w:left="5400" w:hanging="360"/>
      </w:pPr>
    </w:lvl>
    <w:lvl w:ilvl="8" w:tplc="B9881D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02EF"/>
    <w:rsid w:val="00157B94"/>
    <w:rsid w:val="00162561"/>
    <w:rsid w:val="00182B84"/>
    <w:rsid w:val="001B3457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485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10C1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3147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25AD"/>
    <w:rsid w:val="00B230EC"/>
    <w:rsid w:val="00B367FB"/>
    <w:rsid w:val="00B52738"/>
    <w:rsid w:val="00B56EDC"/>
    <w:rsid w:val="00B94A75"/>
    <w:rsid w:val="00BB1F84"/>
    <w:rsid w:val="00BC035A"/>
    <w:rsid w:val="00BE5468"/>
    <w:rsid w:val="00C06DE7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31DA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3691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AU/19_3100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4374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2019-05-27T07:38:00Z</dcterms:created>
  <dcterms:modified xsi:type="dcterms:W3CDTF">2019-05-27T10:32:00Z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G/SPS/N/ARE/178, G/SPS/N/BHR/201</vt:lpwstr>
  </property>
  <property fmtid="{D5CDD505-2E9C-101B-9397-08002B2CF9AE}" pid="3" name="Symbol2">
    <vt:lpwstr>G/SPS/N/KWT/52, G/SPS/N/OMN/98</vt:lpwstr>
  </property>
  <property fmtid="{D5CDD505-2E9C-101B-9397-08002B2CF9AE}" pid="4" name="Symbol3">
    <vt:lpwstr>G/SPS/N/QAT/102, G/SPS/N/SAU/399</vt:lpwstr>
  </property>
  <property fmtid="{D5CDD505-2E9C-101B-9397-08002B2CF9AE}" pid="5" name="Symbol4">
    <vt:lpwstr>G/SPS/N/YEM/43</vt:lpwstr>
  </property>
</Properties>
</file>